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ОТЧЕТ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82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C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C0F">
        <w:rPr>
          <w:rFonts w:ascii="Times New Roman" w:hAnsi="Times New Roman" w:cs="Times New Roman"/>
          <w:sz w:val="28"/>
          <w:szCs w:val="28"/>
        </w:rPr>
        <w:t>6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"0</w:t>
      </w:r>
      <w:r w:rsidR="001341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 w:rsidR="0013411C">
        <w:rPr>
          <w:rFonts w:ascii="Times New Roman" w:hAnsi="Times New Roman" w:cs="Times New Roman"/>
          <w:sz w:val="28"/>
          <w:szCs w:val="28"/>
        </w:rPr>
        <w:t>января</w:t>
      </w:r>
      <w:r w:rsidR="00793105">
        <w:rPr>
          <w:rFonts w:ascii="Times New Roman" w:hAnsi="Times New Roman" w:cs="Times New Roman"/>
          <w:sz w:val="28"/>
          <w:szCs w:val="28"/>
        </w:rPr>
        <w:t xml:space="preserve"> 202</w:t>
      </w:r>
      <w:r w:rsidR="0013411C">
        <w:rPr>
          <w:rFonts w:ascii="Times New Roman" w:hAnsi="Times New Roman" w:cs="Times New Roman"/>
          <w:sz w:val="28"/>
          <w:szCs w:val="28"/>
        </w:rPr>
        <w:t>5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5C5" w:rsidRPr="005702BF" w:rsidRDefault="00B826F1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</w:t>
      </w:r>
      <w:r w:rsidR="00A355C5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</w:t>
      </w:r>
      <w:r w:rsidR="00A355C5" w:rsidRPr="005702BF">
        <w:rPr>
          <w:rFonts w:ascii="Times New Roman" w:hAnsi="Times New Roman" w:cs="Times New Roman"/>
          <w:sz w:val="28"/>
          <w:szCs w:val="28"/>
        </w:rPr>
        <w:t>_</w:t>
      </w:r>
      <w:r w:rsidR="00A35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5C5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A355C5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>(наименование местного муниципального учреждения</w:t>
      </w:r>
      <w:r w:rsidRPr="0040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обособленного</w:t>
      </w:r>
      <w:r w:rsidRPr="004017C1">
        <w:rPr>
          <w:rFonts w:ascii="Times New Roman" w:hAnsi="Times New Roman" w:cs="Times New Roman"/>
        </w:rPr>
        <w:t xml:space="preserve"> подразделения</w:t>
      </w:r>
      <w:r w:rsidRPr="005702BF">
        <w:rPr>
          <w:rFonts w:ascii="Times New Roman" w:hAnsi="Times New Roman" w:cs="Times New Roman"/>
        </w:rPr>
        <w:t>)</w:t>
      </w:r>
    </w:p>
    <w:p w:rsidR="00A355C5" w:rsidRPr="005702BF" w:rsidRDefault="00A355C5" w:rsidP="004B0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C4907">
        <w:rPr>
          <w:rFonts w:ascii="Times New Roman" w:hAnsi="Times New Roman" w:cs="Times New Roman"/>
          <w:sz w:val="28"/>
          <w:szCs w:val="28"/>
          <w:u w:val="single"/>
        </w:rPr>
        <w:t>85.11</w:t>
      </w:r>
      <w:r w:rsidRPr="005702BF">
        <w:rPr>
          <w:rFonts w:ascii="Times New Roman" w:hAnsi="Times New Roman" w:cs="Times New Roman"/>
          <w:sz w:val="28"/>
          <w:szCs w:val="28"/>
        </w:rPr>
        <w:t>_________________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 xml:space="preserve">(код муниципальной услуги (услуг)) </w:t>
      </w:r>
      <w:hyperlink w:anchor="P819" w:history="1">
        <w:r w:rsidRPr="005702BF">
          <w:rPr>
            <w:rFonts w:ascii="Times New Roman" w:hAnsi="Times New Roman" w:cs="Times New Roman"/>
            <w:color w:val="0000FF"/>
          </w:rPr>
          <w:t>&lt;1&gt;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Периодичность _______</w:t>
      </w:r>
      <w:r w:rsidRPr="009C490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3411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9487B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>отчета о выполнении муниципального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муниципальном</w:t>
      </w:r>
      <w:r w:rsidRPr="00693143">
        <w:rPr>
          <w:rFonts w:ascii="Times New Roman" w:hAnsi="Times New Roman" w:cs="Times New Roman"/>
        </w:rPr>
        <w:t xml:space="preserve"> задании)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820" w:history="1">
        <w:r w:rsidRPr="005702B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  __1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 w:rsidRPr="005702B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Pr="004017C1">
        <w:rPr>
          <w:rFonts w:ascii="Times New Roman" w:hAnsi="Times New Roman" w:cs="Times New Roman"/>
          <w:sz w:val="28"/>
          <w:szCs w:val="28"/>
        </w:rPr>
        <w:t>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C1">
        <w:rPr>
          <w:rFonts w:ascii="Times New Roman" w:hAnsi="Times New Roman" w:cs="Times New Roman"/>
          <w:sz w:val="28"/>
          <w:szCs w:val="28"/>
        </w:rPr>
        <w:t>перечню или региональному перечню</w:t>
      </w:r>
      <w:r w:rsidRPr="005702BF">
        <w:rPr>
          <w:rFonts w:ascii="Times New Roman" w:hAnsi="Times New Roman" w:cs="Times New Roman"/>
          <w:sz w:val="28"/>
          <w:szCs w:val="28"/>
        </w:rPr>
        <w:t>: _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11.784.000301000301001100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муниципальной услуги: </w:t>
      </w:r>
      <w:r w:rsidRPr="00A95F24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основных обще</w:t>
      </w:r>
      <w:r w:rsidRPr="00A95F2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3. Категории потр</w:t>
      </w:r>
      <w:r>
        <w:rPr>
          <w:rFonts w:ascii="Times New Roman" w:hAnsi="Times New Roman" w:cs="Times New Roman"/>
          <w:sz w:val="28"/>
          <w:szCs w:val="28"/>
        </w:rPr>
        <w:t xml:space="preserve">ебителей муниципальной услуги:  </w:t>
      </w:r>
      <w:r w:rsidRPr="00A95F24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до 8 лет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3069"/>
        <w:gridCol w:w="3203"/>
      </w:tblGrid>
      <w:tr w:rsidR="00A355C5" w:rsidTr="00F83753">
        <w:trPr>
          <w:trHeight w:val="55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EF6818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5077" w:type="dxa"/>
            <w:gridSpan w:val="2"/>
          </w:tcPr>
          <w:p w:rsidR="00A355C5" w:rsidRDefault="00A355C5" w:rsidP="00EF6818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3203" w:type="dxa"/>
          </w:tcPr>
          <w:p w:rsidR="00A355C5" w:rsidRDefault="00A355C5" w:rsidP="00EF6818">
            <w:pPr>
              <w:pStyle w:val="ConsPlusNormal"/>
              <w:jc w:val="right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F83753">
        <w:trPr>
          <w:trHeight w:val="3038"/>
        </w:trPr>
        <w:tc>
          <w:tcPr>
            <w:tcW w:w="2188" w:type="dxa"/>
          </w:tcPr>
          <w:p w:rsidR="00A355C5" w:rsidRPr="00516966" w:rsidRDefault="00A355C5" w:rsidP="00EF6818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Pr="00A95F24" w:rsidRDefault="00A355C5" w:rsidP="00EF68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203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F83753">
        <w:trPr>
          <w:trHeight w:val="28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F83753">
        <w:trPr>
          <w:trHeight w:val="55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801011О.99.0БВ</w:t>
            </w:r>
          </w:p>
          <w:p w:rsidR="00A355C5" w:rsidRPr="008B4489" w:rsidRDefault="00A355C5" w:rsidP="00F83753">
            <w:pPr>
              <w:pStyle w:val="ConsPlusNormal"/>
            </w:pPr>
            <w:r w:rsidRPr="008B4489">
              <w:t xml:space="preserve">  24ДМ6</w:t>
            </w:r>
            <w:r>
              <w:t>2</w:t>
            </w:r>
            <w:r w:rsidRPr="008B4489">
              <w:t>000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  <w:tr w:rsidR="00A355C5" w:rsidTr="00F83753">
        <w:trPr>
          <w:trHeight w:val="63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nformat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801011О.99.0БВ 24ДН8</w:t>
            </w:r>
            <w:r>
              <w:rPr>
                <w:rFonts w:ascii="Times New Roman" w:hAnsi="Times New Roman" w:cs="Times New Roman"/>
              </w:rPr>
              <w:t>2</w:t>
            </w:r>
            <w:r w:rsidRPr="008B4489">
              <w:rPr>
                <w:rFonts w:ascii="Times New Roman" w:hAnsi="Times New Roman" w:cs="Times New Roman"/>
              </w:rPr>
              <w:t xml:space="preserve">000   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F83753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lastRenderedPageBreak/>
        <w:t>5.1. Показатели, характеризующие объем муниципальной услуги:</w:t>
      </w:r>
    </w:p>
    <w:p w:rsidR="00A355C5" w:rsidRPr="007E47F9" w:rsidRDefault="00A355C5" w:rsidP="00FC184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D2445C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4B5B71">
        <w:trPr>
          <w:trHeight w:val="1123"/>
        </w:trPr>
        <w:tc>
          <w:tcPr>
            <w:tcW w:w="2330" w:type="dxa"/>
          </w:tcPr>
          <w:p w:rsidR="00A355C5" w:rsidRPr="00F83753" w:rsidRDefault="00A355C5" w:rsidP="00D2445C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bookmarkStart w:id="0" w:name="P616"/>
            <w:bookmarkEnd w:id="0"/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bookmarkStart w:id="1" w:name="P617"/>
            <w:bookmarkEnd w:id="1"/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Pr="00D2445C" w:rsidRDefault="00A355C5" w:rsidP="003E69A2">
            <w:pPr>
              <w:pStyle w:val="ConsPlusNormal"/>
              <w:ind w:right="-120"/>
              <w:jc w:val="center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  <w:tr w:rsidR="00A355C5" w:rsidTr="004B5B71">
        <w:trPr>
          <w:trHeight w:val="219"/>
        </w:trPr>
        <w:tc>
          <w:tcPr>
            <w:tcW w:w="2330" w:type="dxa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</w:t>
            </w:r>
            <w:r w:rsidR="00793105"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15"/>
        <w:gridCol w:w="4807"/>
        <w:gridCol w:w="1920"/>
        <w:gridCol w:w="2160"/>
        <w:gridCol w:w="2040"/>
        <w:gridCol w:w="1576"/>
      </w:tblGrid>
      <w:tr w:rsidR="00A355C5" w:rsidTr="0041274F">
        <w:trPr>
          <w:trHeight w:val="404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96"/>
        </w:trPr>
        <w:tc>
          <w:tcPr>
            <w:tcW w:w="2815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Default="00A355C5" w:rsidP="003E69A2">
            <w:pPr>
              <w:pStyle w:val="ConsPlusNormal"/>
              <w:jc w:val="both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   __2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E115D0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1. Уникальный номер муниципальной услуги по общероссийскому базовому перечню или региональному перечню: _</w:t>
      </w:r>
      <w:r w:rsidRPr="00A33F9E">
        <w:rPr>
          <w:rFonts w:ascii="Times New Roman" w:hAnsi="Times New Roman" w:cs="Times New Roman"/>
          <w:u w:val="single"/>
        </w:rPr>
        <w:t>11.785.000301000301001100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 xml:space="preserve">2. Наименование муниципальной услуги: присмотр и уход  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u w:val="single"/>
        </w:rPr>
      </w:pPr>
      <w:r w:rsidRPr="00A33F9E">
        <w:rPr>
          <w:rFonts w:ascii="Times New Roman" w:hAnsi="Times New Roman" w:cs="Times New Roman"/>
          <w:u w:val="single"/>
        </w:rPr>
        <w:t xml:space="preserve">3. Категории потребителей муниципальной услуги:  физические лица до 8 лет </w:t>
      </w:r>
    </w:p>
    <w:p w:rsidR="00A355C5" w:rsidRPr="00A33F9E" w:rsidRDefault="00A355C5" w:rsidP="00A33F9E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1935"/>
        <w:gridCol w:w="2835"/>
      </w:tblGrid>
      <w:tr w:rsidR="00A355C5" w:rsidTr="00A33F9E">
        <w:trPr>
          <w:trHeight w:val="55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121F6D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943" w:type="dxa"/>
            <w:gridSpan w:val="2"/>
          </w:tcPr>
          <w:p w:rsidR="00A355C5" w:rsidRDefault="00A355C5" w:rsidP="00121F6D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</w:tcPr>
          <w:p w:rsidR="00A355C5" w:rsidRDefault="00A355C5" w:rsidP="00A33F9E">
            <w:pPr>
              <w:pStyle w:val="ConsPlusNormal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41274F">
        <w:trPr>
          <w:trHeight w:val="826"/>
        </w:trPr>
        <w:tc>
          <w:tcPr>
            <w:tcW w:w="2188" w:type="dxa"/>
          </w:tcPr>
          <w:p w:rsidR="00A355C5" w:rsidRPr="00516966" w:rsidRDefault="00A355C5" w:rsidP="00121F6D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41274F">
            <w:pPr>
              <w:pStyle w:val="ConsPlusNormal"/>
              <w:rPr>
                <w:sz w:val="24"/>
                <w:szCs w:val="24"/>
              </w:rPr>
            </w:pPr>
          </w:p>
          <w:p w:rsidR="00A355C5" w:rsidRPr="00A95F24" w:rsidRDefault="00A355C5" w:rsidP="00121F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835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A33F9E">
        <w:trPr>
          <w:trHeight w:val="28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A33F9E">
        <w:trPr>
          <w:trHeight w:val="554"/>
        </w:trPr>
        <w:tc>
          <w:tcPr>
            <w:tcW w:w="2188" w:type="dxa"/>
          </w:tcPr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175,65</w:t>
            </w:r>
          </w:p>
        </w:tc>
      </w:tr>
      <w:tr w:rsidR="00A355C5" w:rsidTr="00A33F9E">
        <w:trPr>
          <w:trHeight w:val="634"/>
        </w:trPr>
        <w:tc>
          <w:tcPr>
            <w:tcW w:w="2188" w:type="dxa"/>
          </w:tcPr>
          <w:p w:rsidR="00A355C5" w:rsidRPr="00D06D06" w:rsidRDefault="00A355C5" w:rsidP="008274BC">
            <w:pPr>
              <w:pStyle w:val="ConsPlusNormal"/>
            </w:pPr>
            <w:r w:rsidRPr="00D06D06">
              <w:t>853211О99.0.БВ19АА5</w:t>
            </w:r>
            <w:r>
              <w:t>6</w:t>
            </w:r>
            <w:r w:rsidRPr="00D06D06"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E115D0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  <w:r w:rsidRPr="008B4489">
              <w:t xml:space="preserve"> 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205,36</w:t>
            </w: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E115D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Pr="00D2445C" w:rsidRDefault="00A355C5" w:rsidP="008B4489">
            <w:pPr>
              <w:pStyle w:val="ConsPlusNormal"/>
              <w:ind w:right="-120"/>
            </w:pPr>
            <w:r>
              <w:t>853211О99.0.БВ19АА  50000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121F6D">
        <w:trPr>
          <w:trHeight w:val="219"/>
        </w:trPr>
        <w:tc>
          <w:tcPr>
            <w:tcW w:w="2330" w:type="dxa"/>
          </w:tcPr>
          <w:p w:rsidR="00A355C5" w:rsidRPr="00D06D06" w:rsidRDefault="00A355C5" w:rsidP="008B4489">
            <w:pPr>
              <w:pStyle w:val="ConsPlusNormal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6"/>
        <w:gridCol w:w="4666"/>
        <w:gridCol w:w="2040"/>
        <w:gridCol w:w="2280"/>
        <w:gridCol w:w="1800"/>
        <w:gridCol w:w="1811"/>
      </w:tblGrid>
      <w:tr w:rsidR="00A355C5" w:rsidTr="0041274F">
        <w:trPr>
          <w:trHeight w:val="390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88"/>
        </w:trPr>
        <w:tc>
          <w:tcPr>
            <w:tcW w:w="2836" w:type="dxa"/>
          </w:tcPr>
          <w:p w:rsidR="00A355C5" w:rsidRPr="00516966" w:rsidRDefault="00A355C5" w:rsidP="00D06D06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  <w:p w:rsidR="00A355C5" w:rsidRDefault="00A355C5" w:rsidP="00D06D06">
            <w:pPr>
              <w:pStyle w:val="ConsPlusNormal"/>
              <w:tabs>
                <w:tab w:val="right" w:pos="2206"/>
              </w:tabs>
              <w:jc w:val="both"/>
            </w:pPr>
            <w:r>
              <w:tab/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Title"/>
              <w:jc w:val="both"/>
              <w:rPr>
                <w:b w:val="0"/>
              </w:rPr>
            </w:pPr>
            <w:r w:rsidRPr="008B4489">
              <w:rPr>
                <w:b w:val="0"/>
              </w:rPr>
              <w:t>100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8B4489">
      <w:pPr>
        <w:pStyle w:val="ConsPlusNormal"/>
        <w:rPr>
          <w:sz w:val="28"/>
          <w:szCs w:val="28"/>
        </w:rPr>
      </w:pPr>
    </w:p>
    <w:p w:rsidR="00A355C5" w:rsidRPr="00A95F24" w:rsidRDefault="00A355C5" w:rsidP="008B44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Раздел ___2</w:t>
      </w:r>
      <w:r>
        <w:rPr>
          <w:rFonts w:ascii="Times New Roman" w:hAnsi="Times New Roman" w:cs="Times New Roman"/>
          <w:sz w:val="24"/>
          <w:szCs w:val="24"/>
        </w:rPr>
        <w:t>.1_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  <w:r w:rsidRPr="00A95F24">
        <w:rPr>
          <w:sz w:val="24"/>
          <w:szCs w:val="24"/>
        </w:rPr>
        <w:t>(нумерация вводится при наличии 2 и более разделов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(отраслевому) перечню или региональному перечню: 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11.785.000301000301001100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2. Наименование муниципальной услуги: присмотр и уход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 льготных категорий определяемых учредителем </w:t>
      </w:r>
      <w:r w:rsidRPr="00A95F24">
        <w:rPr>
          <w:rFonts w:ascii="Times New Roman" w:hAnsi="Times New Roman" w:cs="Times New Roman"/>
          <w:sz w:val="24"/>
          <w:szCs w:val="24"/>
        </w:rPr>
        <w:t>до 8 лет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55C5" w:rsidRDefault="00A355C5" w:rsidP="0041274F">
      <w:pPr>
        <w:pStyle w:val="ConsPlusNormal"/>
        <w:rPr>
          <w:sz w:val="28"/>
          <w:szCs w:val="28"/>
        </w:rPr>
      </w:pPr>
    </w:p>
    <w:tbl>
      <w:tblPr>
        <w:tblpPr w:leftFromText="180" w:rightFromText="180" w:vertAnchor="text" w:horzAnchor="margin" w:tblpY="803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1466"/>
        <w:gridCol w:w="2151"/>
        <w:gridCol w:w="1691"/>
        <w:gridCol w:w="1690"/>
        <w:gridCol w:w="2305"/>
        <w:gridCol w:w="4149"/>
      </w:tblGrid>
      <w:tr w:rsidR="00A355C5" w:rsidRPr="00A95F24" w:rsidTr="009C4907">
        <w:trPr>
          <w:trHeight w:val="869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Уникальный номер реестровой записи</w:t>
            </w:r>
          </w:p>
        </w:tc>
        <w:tc>
          <w:tcPr>
            <w:tcW w:w="5308" w:type="dxa"/>
            <w:gridSpan w:val="3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содержание муниципальной услуги</w:t>
            </w:r>
          </w:p>
        </w:tc>
        <w:tc>
          <w:tcPr>
            <w:tcW w:w="3995" w:type="dxa"/>
            <w:gridSpan w:val="2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условия (формы) оказания муниципальной услуги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rPr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RPr="00A95F24" w:rsidTr="009C4907">
        <w:trPr>
          <w:trHeight w:val="1396"/>
        </w:trPr>
        <w:tc>
          <w:tcPr>
            <w:tcW w:w="1982" w:type="dxa"/>
            <w:vMerge w:val="restart"/>
          </w:tcPr>
          <w:p w:rsidR="00A355C5" w:rsidRPr="00516966" w:rsidRDefault="00A355C5" w:rsidP="00121F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121F6D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Виды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Категория потребителей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Возраст обучающихся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Форма реализации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Режим функционирования групп(часов в сутки)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202</w:t>
            </w:r>
            <w:r w:rsidR="00D82C0F">
              <w:t>4</w:t>
            </w:r>
            <w:r w:rsidRPr="008B4489">
              <w:t xml:space="preserve"> год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(очередной финансовый год)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1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3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4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5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6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  <w:tr w:rsidR="00A355C5" w:rsidRPr="00A95F24" w:rsidTr="009C4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853211О99.0.БВ19АГ11000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От 3 до 8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3659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3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36594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E6413B">
        <w:trPr>
          <w:trHeight w:val="233"/>
        </w:trPr>
        <w:tc>
          <w:tcPr>
            <w:tcW w:w="2330" w:type="dxa"/>
          </w:tcPr>
          <w:p w:rsidR="00A355C5" w:rsidRPr="00516966" w:rsidRDefault="00A355C5" w:rsidP="00121F6D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3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0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E6413B">
        <w:trPr>
          <w:trHeight w:val="219"/>
        </w:trPr>
        <w:tc>
          <w:tcPr>
            <w:tcW w:w="2330" w:type="dxa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853211О99.0.БВ19АГ11000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3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Pr="0036594C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22" w:history="1">
        <w:r w:rsidRPr="00E10C88">
          <w:rPr>
            <w:rFonts w:ascii="Times New Roman" w:hAnsi="Times New Roman" w:cs="Times New Roman"/>
            <w:color w:val="0000FF"/>
          </w:rPr>
          <w:t>&lt;4&gt;</w:t>
        </w:r>
      </w:hyperlink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Раздел __2__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E10C88" w:rsidRDefault="00A355C5" w:rsidP="00E10C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C88">
        <w:rPr>
          <w:rFonts w:ascii="Times New Roman" w:hAnsi="Times New Roman" w:cs="Times New Roman"/>
          <w:b/>
        </w:rPr>
        <w:t>Учреждение работы не выполняет.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1. Уникальный номер работы по региональному перечню: 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2. Наименование работы: 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3. Категории потребителей работы: 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4. Показатели, характеризующие содержание, условия (формы) выполнения работы: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57"/>
        <w:gridCol w:w="2524"/>
        <w:gridCol w:w="3155"/>
        <w:gridCol w:w="2944"/>
        <w:gridCol w:w="3366"/>
      </w:tblGrid>
      <w:tr w:rsidR="00A355C5" w:rsidRPr="00E10C88" w:rsidTr="0041274F">
        <w:trPr>
          <w:trHeight w:val="425"/>
        </w:trPr>
        <w:tc>
          <w:tcPr>
            <w:tcW w:w="8836" w:type="dxa"/>
            <w:gridSpan w:val="3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содержание работы</w:t>
            </w:r>
          </w:p>
        </w:tc>
        <w:tc>
          <w:tcPr>
            <w:tcW w:w="6310" w:type="dxa"/>
            <w:gridSpan w:val="2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условия (формы) выполнения работы</w:t>
            </w:r>
          </w:p>
        </w:tc>
      </w:tr>
      <w:tr w:rsidR="00A355C5" w:rsidRPr="00E10C88" w:rsidTr="0041274F">
        <w:trPr>
          <w:trHeight w:val="630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</w:tr>
      <w:tr w:rsidR="00A355C5" w:rsidRPr="00E10C88" w:rsidTr="0041274F">
        <w:trPr>
          <w:trHeight w:val="219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A355C5" w:rsidRPr="00E10C88" w:rsidTr="0041274F">
        <w:trPr>
          <w:trHeight w:val="206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работы: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5.1. Показатели, характеризующие объем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79"/>
        <w:gridCol w:w="1670"/>
        <w:gridCol w:w="2295"/>
        <w:gridCol w:w="1461"/>
        <w:gridCol w:w="2506"/>
        <w:gridCol w:w="2712"/>
        <w:gridCol w:w="2504"/>
      </w:tblGrid>
      <w:tr w:rsidR="00A355C5" w:rsidRPr="00E10C88" w:rsidTr="0041274F">
        <w:trPr>
          <w:trHeight w:val="201"/>
        </w:trPr>
        <w:tc>
          <w:tcPr>
            <w:tcW w:w="15026" w:type="dxa"/>
            <w:gridSpan w:val="7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 объема работы</w:t>
            </w:r>
          </w:p>
        </w:tc>
      </w:tr>
      <w:tr w:rsidR="00A355C5" w:rsidRPr="00E10C88" w:rsidTr="0041274F">
        <w:trPr>
          <w:trHeight w:val="123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наименование показателя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2" w:name="P741"/>
            <w:bookmarkEnd w:id="2"/>
            <w:r w:rsidRPr="00E10C88">
              <w:t>утверждено в муниципальном задании на год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3" w:name="P742"/>
            <w:bookmarkEnd w:id="3"/>
            <w:r w:rsidRPr="00E10C88">
              <w:t>исполнено на отчетную дату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допустимое (возможное) отклонение, установленное в муниципальном задании, %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 xml:space="preserve">отклонение, превышающее допустимое (возможное) значение </w:t>
            </w:r>
            <w:hyperlink w:anchor="P821" w:history="1">
              <w:r w:rsidRPr="00E10C88">
                <w:rPr>
                  <w:color w:val="0000FF"/>
                </w:rPr>
                <w:t>&lt;3&gt;</w:t>
              </w:r>
            </w:hyperlink>
            <w:r w:rsidRPr="00E10C88">
              <w:t xml:space="preserve">: </w:t>
            </w:r>
            <w:hyperlink w:anchor="P742" w:history="1">
              <w:r w:rsidRPr="00E10C88">
                <w:rPr>
                  <w:color w:val="0000FF"/>
                </w:rPr>
                <w:t>гр. 5</w:t>
              </w:r>
            </w:hyperlink>
            <w:r w:rsidRPr="00E10C88">
              <w:t xml:space="preserve"> / </w:t>
            </w:r>
            <w:hyperlink w:anchor="P741" w:history="1">
              <w:r w:rsidRPr="00E10C88">
                <w:rPr>
                  <w:color w:val="0000FF"/>
                </w:rPr>
                <w:t>гр. 4</w:t>
              </w:r>
            </w:hyperlink>
            <w:r w:rsidRPr="00E10C88">
              <w:t xml:space="preserve"> х 100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6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7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  <w:tr w:rsidR="00A355C5" w:rsidRPr="00E10C88" w:rsidTr="0041274F">
        <w:trPr>
          <w:trHeight w:val="20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rmal"/>
        <w:ind w:firstLine="540"/>
        <w:jc w:val="both"/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5.2. Показатели, характеризующие качество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20"/>
        <w:gridCol w:w="1920"/>
        <w:gridCol w:w="4008"/>
        <w:gridCol w:w="2088"/>
        <w:gridCol w:w="4591"/>
      </w:tblGrid>
      <w:tr w:rsidR="00EC651B" w:rsidRPr="00E10C88" w:rsidTr="00EC651B">
        <w:trPr>
          <w:trHeight w:val="230"/>
        </w:trPr>
        <w:tc>
          <w:tcPr>
            <w:tcW w:w="15026" w:type="dxa"/>
            <w:gridSpan w:val="5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Показатель качества работы</w:t>
            </w:r>
          </w:p>
        </w:tc>
      </w:tr>
      <w:tr w:rsidR="00EC651B" w:rsidRPr="00E10C88" w:rsidTr="00EC651B">
        <w:trPr>
          <w:trHeight w:val="47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lastRenderedPageBreak/>
              <w:t>наименование показателя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утверждено в муниципальном задании на год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исполнено на отчетную дату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EC651B" w:rsidRPr="00E10C88" w:rsidTr="00EC651B">
        <w:trPr>
          <w:trHeight w:val="230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</w:tbl>
    <w:p w:rsidR="00EC651B" w:rsidRPr="00E10C88" w:rsidRDefault="00EC651B" w:rsidP="00EC651B">
      <w:pPr>
        <w:pStyle w:val="ConsPlusNormal"/>
        <w:jc w:val="center"/>
      </w:pPr>
    </w:p>
    <w:p w:rsidR="00EC651B" w:rsidRPr="00E10C88" w:rsidRDefault="00EC651B" w:rsidP="00EC651B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Часть 3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Сведения о фактическом достижении иных показателей, связанных с выполнением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муниципального задания, 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3B8464FF">
        <w:rPr>
          <w:rFonts w:ascii="Times New Roman" w:hAnsi="Times New Roman" w:cs="Times New Roman"/>
        </w:rPr>
        <w:t xml:space="preserve">Руководитель (уполномоченное лицо) Заведующий     </w:t>
      </w:r>
      <w:r>
        <w:rPr>
          <w:rFonts w:ascii="Times New Roman" w:hAnsi="Times New Roman" w:cs="Times New Roman"/>
        </w:rPr>
        <w:t xml:space="preserve"> __________________</w:t>
      </w:r>
      <w:proofErr w:type="spellStart"/>
      <w:r w:rsidR="007522B7">
        <w:rPr>
          <w:rFonts w:ascii="Times New Roman" w:hAnsi="Times New Roman" w:cs="Times New Roman"/>
        </w:rPr>
        <w:t>Мурашева</w:t>
      </w:r>
      <w:proofErr w:type="spellEnd"/>
      <w:r w:rsidR="007522B7">
        <w:rPr>
          <w:rFonts w:ascii="Times New Roman" w:hAnsi="Times New Roman" w:cs="Times New Roman"/>
        </w:rPr>
        <w:t xml:space="preserve"> Л.В.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B826F1" w:rsidRPr="00E10C88">
        <w:rPr>
          <w:rFonts w:ascii="Times New Roman" w:hAnsi="Times New Roman" w:cs="Times New Roman"/>
        </w:rPr>
        <w:t xml:space="preserve">должность)  </w:t>
      </w:r>
      <w:r w:rsidRPr="00E10C88">
        <w:rPr>
          <w:rFonts w:ascii="Times New Roman" w:hAnsi="Times New Roman" w:cs="Times New Roman"/>
        </w:rPr>
        <w:t xml:space="preserve">  (подпись)               (расшифровка подписи)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522B7">
        <w:rPr>
          <w:rFonts w:ascii="Times New Roman" w:hAnsi="Times New Roman" w:cs="Times New Roman"/>
        </w:rPr>
        <w:t>0</w:t>
      </w:r>
      <w:r w:rsidR="0013411C">
        <w:rPr>
          <w:rFonts w:ascii="Times New Roman" w:hAnsi="Times New Roman" w:cs="Times New Roman"/>
        </w:rPr>
        <w:t>9</w:t>
      </w:r>
      <w:r w:rsidR="00B826F1">
        <w:rPr>
          <w:rFonts w:ascii="Times New Roman" w:hAnsi="Times New Roman" w:cs="Times New Roman"/>
        </w:rPr>
        <w:t xml:space="preserve">" </w:t>
      </w:r>
      <w:r w:rsidR="0013411C">
        <w:rPr>
          <w:rFonts w:ascii="Times New Roman" w:hAnsi="Times New Roman" w:cs="Times New Roman"/>
        </w:rPr>
        <w:t>января</w:t>
      </w:r>
      <w:r w:rsidR="00DE4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</w:t>
      </w:r>
      <w:r w:rsidR="0013411C">
        <w:rPr>
          <w:rFonts w:ascii="Times New Roman" w:hAnsi="Times New Roman" w:cs="Times New Roman"/>
        </w:rPr>
        <w:t>5</w:t>
      </w:r>
      <w:bookmarkStart w:id="4" w:name="_GoBack"/>
      <w:bookmarkEnd w:id="4"/>
      <w:r w:rsidRPr="00E10C88">
        <w:rPr>
          <w:rFonts w:ascii="Times New Roman" w:hAnsi="Times New Roman" w:cs="Times New Roman"/>
        </w:rPr>
        <w:t xml:space="preserve"> г.</w:t>
      </w:r>
    </w:p>
    <w:p w:rsidR="00EC651B" w:rsidRPr="00E10C88" w:rsidRDefault="00EC651B" w:rsidP="00EC651B">
      <w:pPr>
        <w:pStyle w:val="ConsPlusNormal"/>
        <w:jc w:val="both"/>
      </w:pPr>
    </w:p>
    <w:p w:rsidR="00EC651B" w:rsidRPr="00E10C88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  <w:r>
        <w:t>--------------------------------</w:t>
      </w:r>
    </w:p>
    <w:p w:rsidR="00EC651B" w:rsidRDefault="00EC651B" w:rsidP="00EC651B">
      <w:pPr>
        <w:pStyle w:val="ConsPlusNormal"/>
        <w:ind w:firstLine="540"/>
        <w:jc w:val="both"/>
      </w:pPr>
      <w:bookmarkStart w:id="5" w:name="P819"/>
      <w:bookmarkEnd w:id="5"/>
      <w:r>
        <w:t>&lt;1&gt; В соответствии с Общероссийским классификатором видов экономической деятельности.</w:t>
      </w:r>
    </w:p>
    <w:p w:rsidR="00EC651B" w:rsidRDefault="00EC651B" w:rsidP="00EC651B">
      <w:pPr>
        <w:pStyle w:val="ConsPlusNormal"/>
        <w:ind w:firstLine="540"/>
        <w:jc w:val="both"/>
      </w:pPr>
      <w:bookmarkStart w:id="6" w:name="P820"/>
      <w:bookmarkEnd w:id="6"/>
      <w:r>
        <w:t xml:space="preserve">&lt;2&gt;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C651B" w:rsidRDefault="00EC651B" w:rsidP="00EC651B">
      <w:pPr>
        <w:pStyle w:val="ConsPlusNormal"/>
        <w:ind w:firstLine="540"/>
        <w:jc w:val="both"/>
      </w:pPr>
      <w:bookmarkStart w:id="7" w:name="P821"/>
      <w:bookmarkEnd w:id="7"/>
      <w:r>
        <w:t>&lt;3&gt; Заполняется в годовом отчете.</w:t>
      </w:r>
    </w:p>
    <w:p w:rsidR="00EC651B" w:rsidRDefault="00EC651B" w:rsidP="00EC651B">
      <w:bookmarkStart w:id="8" w:name="P822"/>
      <w:bookmarkEnd w:id="8"/>
      <w:r>
        <w:t xml:space="preserve">&lt;4&gt;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выполнению работы (работ) отдельно по каждой из работ с указанием порядкового номера раздела</w:t>
      </w:r>
    </w:p>
    <w:p w:rsidR="00A355C5" w:rsidRDefault="00A355C5" w:rsidP="00FC1846"/>
    <w:sectPr w:rsidR="00A355C5" w:rsidSect="0043412A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6"/>
    <w:rsid w:val="00121F6D"/>
    <w:rsid w:val="0013411C"/>
    <w:rsid w:val="0023067E"/>
    <w:rsid w:val="00274906"/>
    <w:rsid w:val="002D43E7"/>
    <w:rsid w:val="00316049"/>
    <w:rsid w:val="0036594C"/>
    <w:rsid w:val="00375B74"/>
    <w:rsid w:val="003931BD"/>
    <w:rsid w:val="003B43BC"/>
    <w:rsid w:val="003E69A2"/>
    <w:rsid w:val="004017C1"/>
    <w:rsid w:val="0041274F"/>
    <w:rsid w:val="0043412A"/>
    <w:rsid w:val="004B0C10"/>
    <w:rsid w:val="004B5B71"/>
    <w:rsid w:val="004B72F6"/>
    <w:rsid w:val="00510A14"/>
    <w:rsid w:val="00516966"/>
    <w:rsid w:val="005702BF"/>
    <w:rsid w:val="0061078F"/>
    <w:rsid w:val="00693143"/>
    <w:rsid w:val="006C66DC"/>
    <w:rsid w:val="007522B7"/>
    <w:rsid w:val="00793105"/>
    <w:rsid w:val="007D0D96"/>
    <w:rsid w:val="007D59D1"/>
    <w:rsid w:val="007E47F9"/>
    <w:rsid w:val="0081221B"/>
    <w:rsid w:val="008274BC"/>
    <w:rsid w:val="008B4489"/>
    <w:rsid w:val="00916CEC"/>
    <w:rsid w:val="009C4907"/>
    <w:rsid w:val="009C7477"/>
    <w:rsid w:val="009E3627"/>
    <w:rsid w:val="00A33F9E"/>
    <w:rsid w:val="00A355C5"/>
    <w:rsid w:val="00A95F24"/>
    <w:rsid w:val="00B826F1"/>
    <w:rsid w:val="00BC038E"/>
    <w:rsid w:val="00BE1AB1"/>
    <w:rsid w:val="00C64588"/>
    <w:rsid w:val="00C741C7"/>
    <w:rsid w:val="00D06D06"/>
    <w:rsid w:val="00D2445C"/>
    <w:rsid w:val="00D82C0F"/>
    <w:rsid w:val="00D87AC4"/>
    <w:rsid w:val="00D92DAD"/>
    <w:rsid w:val="00DE4316"/>
    <w:rsid w:val="00E10C88"/>
    <w:rsid w:val="00E115D0"/>
    <w:rsid w:val="00E6413B"/>
    <w:rsid w:val="00E9487B"/>
    <w:rsid w:val="00EC651B"/>
    <w:rsid w:val="00EF6818"/>
    <w:rsid w:val="00F35C07"/>
    <w:rsid w:val="00F8301D"/>
    <w:rsid w:val="00F83753"/>
    <w:rsid w:val="00FA790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1260</Words>
  <Characters>11730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5</cp:revision>
  <cp:lastPrinted>2025-01-09T09:07:00Z</cp:lastPrinted>
  <dcterms:created xsi:type="dcterms:W3CDTF">2024-03-28T09:20:00Z</dcterms:created>
  <dcterms:modified xsi:type="dcterms:W3CDTF">2025-01-09T09:07:00Z</dcterms:modified>
</cp:coreProperties>
</file>